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July 23. End of treatment safe discharge/handover of care - good practice and learning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 I hope everyone is well. I wanted to take this opportunity to continue to support you in your roles and share recent learning accrued across the organisation.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It is paramount that a safe discharge and/or handover to any services take place, especially when there are safeguarding and/or risk issues. Learning from serious incidents, Safeguarding Adult Reviews (formerly known as Serious Adult Reviews) and Coroner’s Court have shown that omissions in care are one of the leading causes of </w:t>
      </w:r>
      <w:r w:rsidDel="00000000" w:rsidR="00000000" w:rsidRPr="00000000">
        <w:rPr>
          <w:rtl w:val="0"/>
        </w:rPr>
        <w:t xml:space="preserve">tragic</w:t>
      </w:r>
      <w:r w:rsidDel="00000000" w:rsidR="00000000" w:rsidRPr="00000000">
        <w:rPr>
          <w:rtl w:val="0"/>
        </w:rPr>
        <w:t xml:space="preserve"> fatalities. Poor and unsafe transferral of clinical care is also known to contribute to serious incidents, risk and tragic fatalities.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 part of sound clinically informed discharge procedures please (when possible):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Empower members and positively engage them in collaborative decision making regarding their care and any follow on care/referrals. Provide an opportunity for them to discuss any queries or concerns with you.</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Keep members updated (ideally during a session) of any liaison with professionals in developing a safe discharge/transferral of care to provide an opportunity to discuss their queries and concerns. </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Learning from complaints in the organisation reinforces the need to ideally first discuss (during a session) decisions to end treatment with our members and agree a clear follow-on package of care (if needed) with our members and relevant professionals and then follow this up in writing to your member and relevant professionals.  </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Follow up any onward referrals before fully discharging and moving to inactive on the platform. If you have agreed an onward referral with the member to another service please liaise directly with the service over the telephone and follow up in writing. If there is a call to action that you require from another professional e.g. a GP to refer on to specialist service, please write to them directly, addressing letters to the professional and be very clear what you require them to do. In these situations copy the member into the correspondence. Follow up calls to action from professionals via telephone call to make sure what you have asked has been done.</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Our NHS partners need to know why and when treatment has come to an end and any further recommendations. </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You need to complete an End of Treatment report via the Partner Updates function on the platform. Your end of treatment report needs to also clearly communicate:</w:t>
      </w:r>
    </w:p>
    <w:p w:rsidR="00000000" w:rsidDel="00000000" w:rsidP="00000000" w:rsidRDefault="00000000" w:rsidRPr="00000000" w14:paraId="00000010">
      <w:pPr>
        <w:numPr>
          <w:ilvl w:val="1"/>
          <w:numId w:val="2"/>
        </w:numPr>
        <w:ind w:left="1440" w:hanging="360"/>
      </w:pPr>
      <w:r w:rsidDel="00000000" w:rsidR="00000000" w:rsidRPr="00000000">
        <w:rPr>
          <w:rtl w:val="0"/>
        </w:rPr>
        <w:t xml:space="preserve">Why treatment has come to an end (e.g. DNA and hasn’t replied to correspondence/your attempts to engage following DNA; completed treatment; wished to be rematched; no longer wants to be seen etc). </w:t>
      </w:r>
    </w:p>
    <w:p w:rsidR="00000000" w:rsidDel="00000000" w:rsidP="00000000" w:rsidRDefault="00000000" w:rsidRPr="00000000" w14:paraId="00000011">
      <w:pPr>
        <w:numPr>
          <w:ilvl w:val="1"/>
          <w:numId w:val="2"/>
        </w:numPr>
        <w:ind w:left="1440" w:hanging="360"/>
      </w:pPr>
      <w:r w:rsidDel="00000000" w:rsidR="00000000" w:rsidRPr="00000000">
        <w:rPr>
          <w:rtl w:val="0"/>
        </w:rPr>
        <w:t xml:space="preserve">Your recommendations/the follow on care package that is required (if needed). </w:t>
      </w:r>
    </w:p>
    <w:p w:rsidR="00000000" w:rsidDel="00000000" w:rsidP="00000000" w:rsidRDefault="00000000" w:rsidRPr="00000000" w14:paraId="00000012">
      <w:pPr>
        <w:numPr>
          <w:ilvl w:val="1"/>
          <w:numId w:val="2"/>
        </w:numPr>
        <w:ind w:left="1440" w:hanging="360"/>
      </w:pPr>
      <w:r w:rsidDel="00000000" w:rsidR="00000000" w:rsidRPr="00000000">
        <w:rPr>
          <w:rtl w:val="0"/>
        </w:rPr>
        <w:t xml:space="preserve">What actions/recommendations the partner needs to make should be clearly communicated.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Before discharge, safety plans need to be updated in writing and then shared with the member (and any other necessary people to best safeguard e.g. family, emergency contact and/or professionals) verbally and in writing. Please attach these to the clinical notes as well as sending via the message function on the platform to members.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Please clearly state if there is risk and you are no longer involved and thus you will not be monitoring risk and prompt the relevant professional(s) to do so.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Please consider who else needs to know about the member’s discharge e.g. has the member given consent to write to the G.P and/or their referrer, do you need to share vital information with any other professionals/family members to best support and safeguard (ideally with consent)?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Please ensure outcome measures are complete.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When all necessary tasks have been completed, please move the member to inactive on the platform.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Please reach out for support via the clinical panel, we are here to help. It is so lovely to get to meet therapists across our network during consultations. Thank you for reaching out for help and working jointly in partnership to safeguard.  Thank you once again for all the hard work you do to best safeguard, it really is sincerely appreciated. Please take care of yourselves too.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With warmest wishes,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Louise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Dr Louise Egan</w:t>
      </w:r>
    </w:p>
    <w:p w:rsidR="00000000" w:rsidDel="00000000" w:rsidP="00000000" w:rsidRDefault="00000000" w:rsidRPr="00000000" w14:paraId="00000025">
      <w:pPr>
        <w:rPr/>
      </w:pPr>
      <w:r w:rsidDel="00000000" w:rsidR="00000000" w:rsidRPr="00000000">
        <w:rPr>
          <w:rtl w:val="0"/>
        </w:rPr>
        <w:t xml:space="preserve">Clinical Psychologist, Director of Clinical Excellence and Safeguarding Lead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